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D4C" w:rsidRPr="0085693D" w:rsidRDefault="00716D4C" w:rsidP="00716D4C">
      <w:pPr>
        <w:pStyle w:val="Heading1"/>
        <w:adjustRightInd w:val="0"/>
        <w:snapToGrid w:val="0"/>
        <w:spacing w:before="60" w:after="0" w:line="312" w:lineRule="auto"/>
      </w:pPr>
      <w:bookmarkStart w:id="0" w:name="_Toc140398627"/>
      <w:bookmarkStart w:id="1" w:name="_Toc141360422"/>
      <w:bookmarkStart w:id="2" w:name="_Toc142836574"/>
      <w:bookmarkStart w:id="3" w:name="_Toc142987351"/>
      <w:bookmarkStart w:id="4" w:name="_Toc143067037"/>
      <w:bookmarkStart w:id="5" w:name="_Toc153332993"/>
      <w:r w:rsidRPr="0085693D">
        <w:t>1</w:t>
      </w:r>
      <w:r>
        <w:rPr>
          <w:lang w:val="vi-VN"/>
        </w:rPr>
        <w:t>5</w:t>
      </w:r>
      <w:r w:rsidRPr="0085693D">
        <w:t>. “BÀI DO THÁI”</w:t>
      </w:r>
      <w:bookmarkEnd w:id="0"/>
      <w:bookmarkEnd w:id="1"/>
      <w:bookmarkEnd w:id="2"/>
      <w:bookmarkEnd w:id="3"/>
      <w:bookmarkEnd w:id="4"/>
      <w:bookmarkEnd w:id="5"/>
    </w:p>
    <w:p w:rsidR="00716D4C" w:rsidRPr="0085693D" w:rsidRDefault="00716D4C" w:rsidP="00716D4C">
      <w:pPr>
        <w:adjustRightInd w:val="0"/>
        <w:snapToGrid w:val="0"/>
        <w:spacing w:before="60" w:line="312" w:lineRule="auto"/>
        <w:ind w:firstLine="567"/>
        <w:jc w:val="both"/>
        <w:rPr>
          <w:szCs w:val="28"/>
          <w:shd w:val="clear" w:color="auto" w:fill="FFFFFF"/>
        </w:rPr>
      </w:pPr>
      <w:r w:rsidRPr="0085693D">
        <w:rPr>
          <w:szCs w:val="28"/>
        </w:rPr>
        <w:t>(</w:t>
      </w:r>
      <w:r w:rsidRPr="0085693D">
        <w:rPr>
          <w:i/>
          <w:szCs w:val="28"/>
        </w:rPr>
        <w:t xml:space="preserve">Tiếng Anh: </w:t>
      </w:r>
      <w:r w:rsidRPr="0085693D">
        <w:rPr>
          <w:i/>
          <w:szCs w:val="28"/>
          <w:shd w:val="clear" w:color="auto" w:fill="FFFFFF"/>
        </w:rPr>
        <w:t>anti–Semitism</w:t>
      </w:r>
      <w:r w:rsidRPr="0085693D">
        <w:rPr>
          <w:szCs w:val="28"/>
          <w:shd w:val="clear" w:color="auto" w:fill="FFFFFF"/>
        </w:rPr>
        <w:t>)</w:t>
      </w:r>
    </w:p>
    <w:p w:rsidR="00716D4C" w:rsidRPr="0085693D" w:rsidRDefault="00716D4C" w:rsidP="00716D4C">
      <w:pPr>
        <w:adjustRightInd w:val="0"/>
        <w:snapToGrid w:val="0"/>
        <w:spacing w:before="60" w:line="312" w:lineRule="auto"/>
        <w:ind w:firstLine="567"/>
        <w:jc w:val="both"/>
        <w:rPr>
          <w:szCs w:val="28"/>
        </w:rPr>
      </w:pPr>
      <w:r w:rsidRPr="0085693D">
        <w:rPr>
          <w:szCs w:val="28"/>
          <w:shd w:val="clear" w:color="auto" w:fill="FFFFFF"/>
        </w:rPr>
        <w:t xml:space="preserve">thuật ngữ chỉ sự phân biệt chủng tộc, chống lại và tàn sát người Do Thái trong lịch sử, nhất là dưới chế độ phát xít Đức Quốc </w:t>
      </w:r>
      <w:r>
        <w:rPr>
          <w:szCs w:val="28"/>
          <w:shd w:val="clear" w:color="auto" w:fill="FFFFFF"/>
        </w:rPr>
        <w:t>x</w:t>
      </w:r>
      <w:r w:rsidRPr="0085693D">
        <w:rPr>
          <w:szCs w:val="28"/>
          <w:shd w:val="clear" w:color="auto" w:fill="FFFFFF"/>
        </w:rPr>
        <w:t>ã làm khoảng 6 triệu người Do Thái bị giết chết.</w:t>
      </w:r>
    </w:p>
    <w:p w:rsidR="00716D4C" w:rsidRPr="0085693D" w:rsidRDefault="00716D4C" w:rsidP="00716D4C">
      <w:pPr>
        <w:adjustRightInd w:val="0"/>
        <w:snapToGrid w:val="0"/>
        <w:spacing w:before="60" w:line="312" w:lineRule="auto"/>
        <w:ind w:firstLine="567"/>
        <w:jc w:val="both"/>
        <w:rPr>
          <w:szCs w:val="28"/>
        </w:rPr>
      </w:pPr>
      <w:r w:rsidRPr="0085693D">
        <w:rPr>
          <w:szCs w:val="28"/>
        </w:rPr>
        <w:t>Thuật ngữ này, với ý nghĩa hiện đại, lần đầu tiên được sử dụng ở Đức vào cuối thế kỷ XIX bởi nhiều cách gọi khác nhau. Moritz Steinschneider (một trí thức người Do Thái ở Áo), trong bài báo của mình, ông đã gọi các ý tưởng phân chia các chủng tộc của các nhà nhân chủng học đưa ra trong thời kỳ đó là “định kiến bài Do Thái”. Sau đó, thuật ngữ này với ý nghĩa “thù địch với người Do Tháí” lần đầu tiên được nhà báo người Đức Wilhelm Marr sử dụng nhân dịp thành lập “</w:t>
      </w:r>
      <w:r w:rsidRPr="0085693D">
        <w:rPr>
          <w:i/>
          <w:szCs w:val="28"/>
        </w:rPr>
        <w:t>Liên minh bài Do Thái</w:t>
      </w:r>
      <w:r w:rsidRPr="0085693D">
        <w:rPr>
          <w:szCs w:val="28"/>
        </w:rPr>
        <w:t xml:space="preserve">” do ông sáng lập vào năm 1879 nhằm chống lại người Do Thái, buộc tội họ là những người lang thang, một dân tộc không có gốc rễ và làm ảnh hưởng tới xã hội Đức. </w:t>
      </w:r>
    </w:p>
    <w:p w:rsidR="00716D4C" w:rsidRPr="0085693D" w:rsidRDefault="00716D4C" w:rsidP="00716D4C">
      <w:pPr>
        <w:adjustRightInd w:val="0"/>
        <w:snapToGrid w:val="0"/>
        <w:spacing w:before="60" w:line="312" w:lineRule="auto"/>
        <w:ind w:firstLine="567"/>
        <w:jc w:val="both"/>
        <w:rPr>
          <w:rStyle w:val="Emphasis"/>
          <w:bCs/>
          <w:i w:val="0"/>
          <w:shd w:val="clear" w:color="auto" w:fill="FFFFFF"/>
        </w:rPr>
      </w:pPr>
      <w:r w:rsidRPr="0085693D">
        <w:rPr>
          <w:rStyle w:val="Emphasis"/>
          <w:bCs/>
          <w:i w:val="0"/>
          <w:szCs w:val="28"/>
          <w:shd w:val="clear" w:color="auto" w:fill="FFFFFF"/>
        </w:rPr>
        <w:t>Bài Do Thái (vt</w:t>
      </w:r>
      <w:r w:rsidRPr="0085693D">
        <w:rPr>
          <w:rStyle w:val="Emphasis"/>
          <w:bCs/>
          <w:i w:val="0"/>
          <w:szCs w:val="28"/>
          <w:shd w:val="clear" w:color="auto" w:fill="FFFFFF"/>
          <w:lang w:val="vi-VN"/>
        </w:rPr>
        <w:t xml:space="preserve">. </w:t>
      </w:r>
      <w:r w:rsidRPr="0085693D">
        <w:rPr>
          <w:rStyle w:val="Emphasis"/>
          <w:bCs/>
          <w:i w:val="0"/>
          <w:szCs w:val="28"/>
          <w:shd w:val="clear" w:color="auto" w:fill="FFFFFF"/>
        </w:rPr>
        <w:t>BDT) ra đời dựa trên sự kết hợp hai yếu tố cơ bản đó là tôn giáo và thuyết chủng tộc, phổ biến ở châu Âu thời điểm đó. Yếu tố tôn giáo bắt nguồn từ thế giới Hy Lạp</w:t>
      </w:r>
      <w:r w:rsidRPr="0085693D">
        <w:rPr>
          <w:rStyle w:val="Emphasis"/>
          <w:bCs/>
          <w:i w:val="0"/>
          <w:szCs w:val="28"/>
          <w:shd w:val="clear" w:color="auto" w:fill="FFFFFF"/>
          <w:lang w:val="vi-VN"/>
        </w:rPr>
        <w:t xml:space="preserve"> </w:t>
      </w:r>
      <w:r w:rsidRPr="0085693D">
        <w:rPr>
          <w:rStyle w:val="Emphasis"/>
          <w:bCs/>
          <w:i w:val="0"/>
          <w:szCs w:val="28"/>
          <w:shd w:val="clear" w:color="auto" w:fill="FFFFFF"/>
        </w:rPr>
        <w:t>–</w:t>
      </w:r>
      <w:r w:rsidRPr="0085693D">
        <w:rPr>
          <w:rStyle w:val="Emphasis"/>
          <w:bCs/>
          <w:i w:val="0"/>
          <w:szCs w:val="28"/>
          <w:shd w:val="clear" w:color="auto" w:fill="FFFFFF"/>
          <w:lang w:val="vi-VN"/>
        </w:rPr>
        <w:t xml:space="preserve"> </w:t>
      </w:r>
      <w:r w:rsidRPr="0085693D">
        <w:rPr>
          <w:rStyle w:val="Emphasis"/>
          <w:bCs/>
          <w:i w:val="0"/>
          <w:szCs w:val="28"/>
          <w:shd w:val="clear" w:color="auto" w:fill="FFFFFF"/>
        </w:rPr>
        <w:t>La Mã dựa trên sự khác biệt giữa Cơ đốc giáo và Do Thái và kéo dài trong suốt các thời kỳ sau. Yếu tố chủng tộc trong BDT xuất hiện muộn hơn, ở thế kỷ XIX khi các lý thuyết về các chủng tộc xuất hiện và trở nên thịnh hành. Trong nửa đầu thế kỷ XX, BDT trở nên phổ biến ở nhiều quốc gia như Mỹ, Anh, Pháp, Liên Xô</w:t>
      </w:r>
      <w:r w:rsidRPr="0085693D">
        <w:rPr>
          <w:rStyle w:val="Emphasis"/>
          <w:bCs/>
          <w:i w:val="0"/>
          <w:szCs w:val="28"/>
          <w:shd w:val="clear" w:color="auto" w:fill="FFFFFF"/>
          <w:lang w:val="vi-VN"/>
        </w:rPr>
        <w:t>,</w:t>
      </w:r>
      <w:r w:rsidRPr="0085693D">
        <w:rPr>
          <w:rStyle w:val="Emphasis"/>
          <w:bCs/>
          <w:i w:val="0"/>
          <w:szCs w:val="28"/>
          <w:shd w:val="clear" w:color="auto" w:fill="FFFFFF"/>
        </w:rPr>
        <w:t xml:space="preserve">… với tính đa dạng tùy vào mục đích của giới chính trị ở mỗi nước. </w:t>
      </w:r>
    </w:p>
    <w:p w:rsidR="00716D4C" w:rsidRPr="0085693D" w:rsidRDefault="00716D4C" w:rsidP="00716D4C">
      <w:pPr>
        <w:adjustRightInd w:val="0"/>
        <w:snapToGrid w:val="0"/>
        <w:spacing w:before="60" w:line="312" w:lineRule="auto"/>
        <w:ind w:firstLine="567"/>
        <w:jc w:val="both"/>
        <w:rPr>
          <w:rStyle w:val="Emphasis"/>
          <w:bCs/>
          <w:i w:val="0"/>
          <w:szCs w:val="28"/>
          <w:shd w:val="clear" w:color="auto" w:fill="FFFFFF"/>
        </w:rPr>
      </w:pPr>
      <w:r w:rsidRPr="0085693D">
        <w:rPr>
          <w:rStyle w:val="Emphasis"/>
          <w:bCs/>
          <w:i w:val="0"/>
          <w:szCs w:val="28"/>
          <w:shd w:val="clear" w:color="auto" w:fill="FFFFFF"/>
        </w:rPr>
        <w:t xml:space="preserve"> BDT mà Đức Quốc xã sử dụng trong giai đoạn Chiến tranh thế giới thứ Hai bao gồm cả hai yếu tố tôn giáo và học thuyết chủng tộc giả khoa học. Đảng Quốc xã đã biến BDT trở thành trung tâm và mục đích trong chương trình hành động của họ. Trong đó, yếu tố chủng tộc được chú trọng hơn do xuất phát từ quan điểm của Hitler khi cho rằng người Do Thái là mối đe dọa sinh học đối với chủng tộc Đức. Do đó, BDT trong quan niệm của Đức Quốc xã không chỉ là bất cứ biểu hiện nào của sự thù hận, thù địch hoặc phân biệt đối xử chống lại người Do Thái, Do Thái giáo mà còn là chống lại cả những người Do Thái đã bị đồng hóa hoặc sự đồng hóa bởi người Do Thái. Quan điểm này bị ảnh hưởng rất lớn từ giới sử gia </w:t>
      </w:r>
      <w:r w:rsidRPr="0085693D">
        <w:rPr>
          <w:rStyle w:val="Emphasis"/>
          <w:bCs/>
          <w:i w:val="0"/>
          <w:szCs w:val="28"/>
          <w:shd w:val="clear" w:color="auto" w:fill="FFFFFF"/>
        </w:rPr>
        <w:lastRenderedPageBreak/>
        <w:t xml:space="preserve">Phổ tiêu biểu là Heinrich von Treitschke với những ý tưởng được đưa vào học thuyết BDT của Đức Quốc xã. </w:t>
      </w:r>
    </w:p>
    <w:p w:rsidR="00716D4C" w:rsidRPr="0085693D" w:rsidRDefault="00716D4C" w:rsidP="00716D4C">
      <w:pPr>
        <w:adjustRightInd w:val="0"/>
        <w:snapToGrid w:val="0"/>
        <w:spacing w:before="60" w:line="312" w:lineRule="auto"/>
        <w:ind w:firstLine="567"/>
        <w:jc w:val="both"/>
        <w:rPr>
          <w:rStyle w:val="Emphasis"/>
          <w:bCs/>
          <w:i w:val="0"/>
          <w:szCs w:val="28"/>
          <w:shd w:val="clear" w:color="auto" w:fill="FFFFFF"/>
        </w:rPr>
      </w:pPr>
      <w:r w:rsidRPr="0085693D">
        <w:rPr>
          <w:rStyle w:val="Emphasis"/>
          <w:bCs/>
          <w:i w:val="0"/>
          <w:szCs w:val="28"/>
          <w:shd w:val="clear" w:color="auto" w:fill="FFFFFF"/>
        </w:rPr>
        <w:t xml:space="preserve">Thuật ngữ “BDT mới” ra đời vào thập niên cuối của thế kỷ XX, được phổ biến rộng rãi trong các đảng cánh tả, cánh hữu ở Mỹ và các nước châu Âu, cũng như trong các đảng </w:t>
      </w:r>
      <w:r>
        <w:rPr>
          <w:szCs w:val="28"/>
        </w:rPr>
        <w:t xml:space="preserve">Islam </w:t>
      </w:r>
      <w:r w:rsidRPr="0085693D">
        <w:rPr>
          <w:szCs w:val="28"/>
        </w:rPr>
        <w:t>giáo</w:t>
      </w:r>
      <w:r w:rsidRPr="0085693D" w:rsidDel="006E6624">
        <w:rPr>
          <w:rStyle w:val="Emphasis"/>
          <w:bCs/>
          <w:i w:val="0"/>
          <w:szCs w:val="28"/>
          <w:shd w:val="clear" w:color="auto" w:fill="FFFFFF"/>
        </w:rPr>
        <w:t xml:space="preserve"> </w:t>
      </w:r>
      <w:r w:rsidRPr="0085693D">
        <w:rPr>
          <w:rStyle w:val="Emphasis"/>
          <w:bCs/>
          <w:i w:val="0"/>
          <w:szCs w:val="28"/>
          <w:shd w:val="clear" w:color="auto" w:fill="FFFFFF"/>
        </w:rPr>
        <w:t xml:space="preserve">cực đoan. Thuật ngữ mới này được hiểu bao gồm cả việc phản đối chủ nghĩa phục quốc Do Thái và chống lại ảnh hưởng của các hiệp hội người Do Thái ở châu Âu. Tuy nhiên, khái niệm này vẫn còn là đề tài tranh luận trong giới học thuật ngày nay.   </w:t>
      </w:r>
    </w:p>
    <w:p w:rsidR="00716D4C" w:rsidRPr="0085693D" w:rsidRDefault="00716D4C" w:rsidP="00716D4C">
      <w:pPr>
        <w:adjustRightInd w:val="0"/>
        <w:snapToGrid w:val="0"/>
        <w:spacing w:before="60" w:line="312" w:lineRule="auto"/>
        <w:ind w:firstLine="720"/>
        <w:jc w:val="right"/>
        <w:rPr>
          <w:rFonts w:eastAsia="SimSun"/>
          <w:b/>
          <w:bCs/>
          <w:sz w:val="20"/>
          <w:szCs w:val="20"/>
        </w:rPr>
      </w:pPr>
      <w:r w:rsidRPr="0085693D">
        <w:rPr>
          <w:b/>
          <w:bCs/>
          <w:sz w:val="20"/>
          <w:szCs w:val="20"/>
        </w:rPr>
        <w:t>NGUYỄN THỊ HẠNH</w:t>
      </w:r>
    </w:p>
    <w:p w:rsidR="00716D4C" w:rsidRPr="0085693D" w:rsidRDefault="00716D4C" w:rsidP="00716D4C">
      <w:pPr>
        <w:adjustRightInd w:val="0"/>
        <w:snapToGrid w:val="0"/>
        <w:spacing w:before="60" w:line="312" w:lineRule="auto"/>
        <w:jc w:val="both"/>
        <w:rPr>
          <w:b/>
          <w:sz w:val="24"/>
          <w:szCs w:val="24"/>
        </w:rPr>
      </w:pPr>
      <w:r w:rsidRPr="0085693D">
        <w:rPr>
          <w:b/>
          <w:sz w:val="24"/>
          <w:szCs w:val="24"/>
        </w:rPr>
        <w:t>Tài liệu tham khảo</w:t>
      </w:r>
    </w:p>
    <w:p w:rsidR="00716D4C" w:rsidRPr="0085693D" w:rsidRDefault="00716D4C" w:rsidP="00716D4C">
      <w:pPr>
        <w:pStyle w:val="ListParagraph"/>
        <w:numPr>
          <w:ilvl w:val="0"/>
          <w:numId w:val="1"/>
        </w:numPr>
        <w:shd w:val="clear" w:color="auto" w:fill="FFFFFF"/>
        <w:tabs>
          <w:tab w:val="left" w:pos="270"/>
        </w:tabs>
        <w:adjustRightInd w:val="0"/>
        <w:snapToGrid w:val="0"/>
        <w:spacing w:before="60" w:line="312" w:lineRule="auto"/>
        <w:ind w:left="0" w:firstLine="0"/>
        <w:contextualSpacing w:val="0"/>
        <w:jc w:val="both"/>
        <w:rPr>
          <w:bCs/>
          <w:kern w:val="36"/>
          <w:sz w:val="24"/>
          <w:szCs w:val="24"/>
        </w:rPr>
      </w:pPr>
      <w:r w:rsidRPr="0085693D">
        <w:rPr>
          <w:sz w:val="24"/>
          <w:szCs w:val="24"/>
        </w:rPr>
        <w:t xml:space="preserve">Paul Johnson, </w:t>
      </w:r>
      <w:r w:rsidRPr="0085693D">
        <w:rPr>
          <w:i/>
          <w:sz w:val="24"/>
          <w:szCs w:val="24"/>
        </w:rPr>
        <w:t>A History of the Jews</w:t>
      </w:r>
      <w:r w:rsidRPr="0085693D">
        <w:rPr>
          <w:sz w:val="24"/>
          <w:szCs w:val="24"/>
        </w:rPr>
        <w:t>, Weidenfeld &amp; Nicolson, London, 1987</w:t>
      </w:r>
      <w:r w:rsidRPr="0085693D">
        <w:rPr>
          <w:bCs/>
          <w:kern w:val="36"/>
          <w:sz w:val="24"/>
          <w:szCs w:val="24"/>
        </w:rPr>
        <w:t xml:space="preserve"> (</w:t>
      </w:r>
      <w:r w:rsidRPr="0085693D">
        <w:rPr>
          <w:sz w:val="24"/>
          <w:szCs w:val="24"/>
        </w:rPr>
        <w:t xml:space="preserve">Paul Johnson, </w:t>
      </w:r>
      <w:r w:rsidRPr="0085693D">
        <w:rPr>
          <w:i/>
          <w:sz w:val="24"/>
          <w:szCs w:val="24"/>
        </w:rPr>
        <w:t xml:space="preserve">Lịch sử Do Thái, </w:t>
      </w:r>
      <w:r w:rsidRPr="0085693D">
        <w:rPr>
          <w:sz w:val="24"/>
          <w:szCs w:val="24"/>
        </w:rPr>
        <w:t>Nxb.</w:t>
      </w:r>
      <w:r w:rsidRPr="0085693D">
        <w:rPr>
          <w:i/>
          <w:sz w:val="24"/>
          <w:szCs w:val="24"/>
        </w:rPr>
        <w:t xml:space="preserve"> </w:t>
      </w:r>
      <w:r w:rsidRPr="0085693D">
        <w:rPr>
          <w:sz w:val="24"/>
          <w:szCs w:val="24"/>
        </w:rPr>
        <w:t>Weidenfeld &amp; Nicolson, London, 1987).</w:t>
      </w:r>
    </w:p>
    <w:p w:rsidR="00716D4C" w:rsidRPr="0085693D" w:rsidRDefault="00716D4C" w:rsidP="00716D4C">
      <w:pPr>
        <w:pStyle w:val="ListParagraph"/>
        <w:numPr>
          <w:ilvl w:val="0"/>
          <w:numId w:val="1"/>
        </w:numPr>
        <w:shd w:val="clear" w:color="auto" w:fill="FFFFFF"/>
        <w:tabs>
          <w:tab w:val="left" w:pos="270"/>
        </w:tabs>
        <w:adjustRightInd w:val="0"/>
        <w:snapToGrid w:val="0"/>
        <w:spacing w:before="60" w:line="312" w:lineRule="auto"/>
        <w:ind w:left="0" w:firstLine="0"/>
        <w:contextualSpacing w:val="0"/>
        <w:jc w:val="both"/>
        <w:rPr>
          <w:bCs/>
          <w:kern w:val="36"/>
          <w:sz w:val="24"/>
          <w:szCs w:val="24"/>
        </w:rPr>
      </w:pPr>
      <w:r w:rsidRPr="0085693D">
        <w:rPr>
          <w:sz w:val="24"/>
          <w:szCs w:val="24"/>
          <w:shd w:val="clear" w:color="auto" w:fill="FFFFFF"/>
        </w:rPr>
        <w:t>Moshe Zimmermann, </w:t>
      </w:r>
      <w:r w:rsidRPr="0085693D">
        <w:rPr>
          <w:i/>
          <w:iCs/>
          <w:sz w:val="24"/>
          <w:szCs w:val="24"/>
          <w:shd w:val="clear" w:color="auto" w:fill="FFFFFF"/>
        </w:rPr>
        <w:t xml:space="preserve">Wilhelm Marr: </w:t>
      </w:r>
      <w:r w:rsidRPr="0085693D">
        <w:rPr>
          <w:rStyle w:val="a-size-extra-large"/>
          <w:sz w:val="24"/>
          <w:szCs w:val="24"/>
        </w:rPr>
        <w:t xml:space="preserve">The Patriarch of Anti–Semitism, </w:t>
      </w:r>
      <w:r w:rsidRPr="0085693D">
        <w:rPr>
          <w:sz w:val="24"/>
          <w:szCs w:val="24"/>
          <w:shd w:val="clear" w:color="auto" w:fill="FFFFFF"/>
        </w:rPr>
        <w:t>Oxford University, 1987</w:t>
      </w:r>
      <w:r w:rsidRPr="0085693D">
        <w:rPr>
          <w:bCs/>
          <w:kern w:val="36"/>
          <w:sz w:val="24"/>
          <w:szCs w:val="24"/>
        </w:rPr>
        <w:t xml:space="preserve"> </w:t>
      </w:r>
      <w:r w:rsidRPr="0085693D">
        <w:rPr>
          <w:rStyle w:val="a-size-extra-large"/>
          <w:sz w:val="24"/>
          <w:szCs w:val="24"/>
        </w:rPr>
        <w:t>(</w:t>
      </w:r>
      <w:r w:rsidRPr="0085693D">
        <w:rPr>
          <w:sz w:val="24"/>
          <w:szCs w:val="24"/>
          <w:shd w:val="clear" w:color="auto" w:fill="FFFFFF"/>
        </w:rPr>
        <w:t>Moshe Zimmermann, </w:t>
      </w:r>
      <w:r w:rsidRPr="0085693D">
        <w:rPr>
          <w:i/>
          <w:iCs/>
          <w:sz w:val="24"/>
          <w:szCs w:val="24"/>
          <w:shd w:val="clear" w:color="auto" w:fill="FFFFFF"/>
        </w:rPr>
        <w:t>Wilhelm Marr: Giáo chủ của chủ nghĩa Bài Do Thái</w:t>
      </w:r>
      <w:r w:rsidRPr="0085693D">
        <w:rPr>
          <w:rStyle w:val="a-size-extra-large"/>
          <w:sz w:val="24"/>
          <w:szCs w:val="24"/>
        </w:rPr>
        <w:t xml:space="preserve">, Nxb. </w:t>
      </w:r>
      <w:r w:rsidRPr="0085693D">
        <w:rPr>
          <w:sz w:val="24"/>
          <w:szCs w:val="24"/>
          <w:shd w:val="clear" w:color="auto" w:fill="FFFFFF"/>
        </w:rPr>
        <w:t>Oxford University, 1987).</w:t>
      </w:r>
      <w:r w:rsidRPr="0085693D">
        <w:rPr>
          <w:bCs/>
          <w:kern w:val="36"/>
          <w:sz w:val="24"/>
          <w:szCs w:val="24"/>
        </w:rPr>
        <w:t xml:space="preserve"> </w:t>
      </w:r>
    </w:p>
    <w:p w:rsidR="00716D4C" w:rsidRPr="0085693D" w:rsidRDefault="00716D4C" w:rsidP="00716D4C">
      <w:pPr>
        <w:pStyle w:val="ListParagraph"/>
        <w:numPr>
          <w:ilvl w:val="0"/>
          <w:numId w:val="1"/>
        </w:numPr>
        <w:shd w:val="clear" w:color="auto" w:fill="FFFFFF"/>
        <w:tabs>
          <w:tab w:val="left" w:pos="270"/>
        </w:tabs>
        <w:adjustRightInd w:val="0"/>
        <w:snapToGrid w:val="0"/>
        <w:spacing w:before="60" w:line="312" w:lineRule="auto"/>
        <w:ind w:left="0" w:firstLine="0"/>
        <w:contextualSpacing w:val="0"/>
        <w:jc w:val="both"/>
        <w:rPr>
          <w:bCs/>
          <w:kern w:val="36"/>
          <w:sz w:val="24"/>
          <w:szCs w:val="24"/>
        </w:rPr>
      </w:pPr>
      <w:r w:rsidRPr="0085693D">
        <w:rPr>
          <w:sz w:val="24"/>
          <w:szCs w:val="24"/>
          <w:shd w:val="clear" w:color="auto" w:fill="FFFFFF"/>
        </w:rPr>
        <w:t>Cavalli</w:t>
      </w:r>
      <w:r w:rsidRPr="0085693D">
        <w:rPr>
          <w:sz w:val="24"/>
          <w:szCs w:val="24"/>
          <w:shd w:val="clear" w:color="auto" w:fill="FFFFFF"/>
          <w:lang w:val="vi-VN"/>
        </w:rPr>
        <w:t xml:space="preserve"> </w:t>
      </w:r>
      <w:r w:rsidRPr="0085693D">
        <w:rPr>
          <w:sz w:val="24"/>
          <w:szCs w:val="24"/>
          <w:shd w:val="clear" w:color="auto" w:fill="FFFFFF"/>
        </w:rPr>
        <w:t>–</w:t>
      </w:r>
      <w:r w:rsidRPr="0085693D">
        <w:rPr>
          <w:sz w:val="24"/>
          <w:szCs w:val="24"/>
          <w:shd w:val="clear" w:color="auto" w:fill="FFFFFF"/>
          <w:lang w:val="vi-VN"/>
        </w:rPr>
        <w:t xml:space="preserve"> </w:t>
      </w:r>
      <w:r w:rsidRPr="0085693D">
        <w:rPr>
          <w:sz w:val="24"/>
          <w:szCs w:val="24"/>
          <w:shd w:val="clear" w:color="auto" w:fill="FFFFFF"/>
        </w:rPr>
        <w:t>Sforza, Luigi</w:t>
      </w:r>
      <w:r w:rsidRPr="0085693D">
        <w:rPr>
          <w:sz w:val="24"/>
          <w:szCs w:val="24"/>
        </w:rPr>
        <w:t xml:space="preserve">, </w:t>
      </w:r>
      <w:r w:rsidRPr="0085693D">
        <w:rPr>
          <w:i/>
          <w:sz w:val="24"/>
          <w:szCs w:val="24"/>
        </w:rPr>
        <w:t>The History and Geography of Humain Genes,</w:t>
      </w:r>
      <w:r w:rsidRPr="0085693D">
        <w:rPr>
          <w:sz w:val="24"/>
          <w:szCs w:val="24"/>
          <w:shd w:val="clear" w:color="auto" w:fill="FFFFFF"/>
        </w:rPr>
        <w:t xml:space="preserve"> Princeton University Press</w:t>
      </w:r>
      <w:r w:rsidRPr="0085693D">
        <w:rPr>
          <w:sz w:val="24"/>
          <w:szCs w:val="24"/>
        </w:rPr>
        <w:t>, 1994</w:t>
      </w:r>
      <w:r w:rsidRPr="0085693D">
        <w:rPr>
          <w:i/>
          <w:sz w:val="24"/>
          <w:szCs w:val="24"/>
        </w:rPr>
        <w:t xml:space="preserve"> </w:t>
      </w:r>
      <w:r w:rsidRPr="0085693D">
        <w:rPr>
          <w:sz w:val="24"/>
          <w:szCs w:val="24"/>
        </w:rPr>
        <w:t>(</w:t>
      </w:r>
      <w:r w:rsidRPr="0085693D">
        <w:rPr>
          <w:sz w:val="24"/>
          <w:szCs w:val="24"/>
          <w:shd w:val="clear" w:color="auto" w:fill="FFFFFF"/>
        </w:rPr>
        <w:t>Cavalli</w:t>
      </w:r>
      <w:r w:rsidRPr="0085693D">
        <w:rPr>
          <w:sz w:val="24"/>
          <w:szCs w:val="24"/>
          <w:shd w:val="clear" w:color="auto" w:fill="FFFFFF"/>
          <w:lang w:val="vi-VN"/>
        </w:rPr>
        <w:t xml:space="preserve"> </w:t>
      </w:r>
      <w:r w:rsidRPr="0085693D">
        <w:rPr>
          <w:sz w:val="24"/>
          <w:szCs w:val="24"/>
          <w:shd w:val="clear" w:color="auto" w:fill="FFFFFF"/>
        </w:rPr>
        <w:t>–</w:t>
      </w:r>
      <w:r w:rsidRPr="0085693D">
        <w:rPr>
          <w:sz w:val="24"/>
          <w:szCs w:val="24"/>
          <w:shd w:val="clear" w:color="auto" w:fill="FFFFFF"/>
          <w:lang w:val="vi-VN"/>
        </w:rPr>
        <w:t xml:space="preserve"> </w:t>
      </w:r>
      <w:r w:rsidRPr="0085693D">
        <w:rPr>
          <w:sz w:val="24"/>
          <w:szCs w:val="24"/>
          <w:shd w:val="clear" w:color="auto" w:fill="FFFFFF"/>
        </w:rPr>
        <w:t>Sforza, Luigi</w:t>
      </w:r>
      <w:r w:rsidRPr="0085693D">
        <w:rPr>
          <w:sz w:val="24"/>
          <w:szCs w:val="24"/>
        </w:rPr>
        <w:t xml:space="preserve">, </w:t>
      </w:r>
      <w:r w:rsidRPr="0085693D">
        <w:rPr>
          <w:i/>
          <w:sz w:val="24"/>
          <w:szCs w:val="24"/>
        </w:rPr>
        <w:t>Lịch sử và Địa lý của gen người</w:t>
      </w:r>
      <w:r w:rsidRPr="0085693D">
        <w:rPr>
          <w:sz w:val="24"/>
          <w:szCs w:val="24"/>
        </w:rPr>
        <w:t xml:space="preserve">, Nxb. </w:t>
      </w:r>
      <w:r w:rsidRPr="0085693D">
        <w:rPr>
          <w:sz w:val="24"/>
          <w:szCs w:val="24"/>
          <w:shd w:val="clear" w:color="auto" w:fill="FFFFFF"/>
        </w:rPr>
        <w:t>Princeton University</w:t>
      </w:r>
      <w:r w:rsidRPr="0085693D">
        <w:rPr>
          <w:sz w:val="24"/>
          <w:szCs w:val="24"/>
        </w:rPr>
        <w:t>, 1994).</w:t>
      </w:r>
    </w:p>
    <w:p w:rsidR="00716D4C" w:rsidRPr="0085693D" w:rsidRDefault="00716D4C" w:rsidP="00716D4C">
      <w:pPr>
        <w:pStyle w:val="ListParagraph"/>
        <w:numPr>
          <w:ilvl w:val="0"/>
          <w:numId w:val="1"/>
        </w:numPr>
        <w:shd w:val="clear" w:color="auto" w:fill="FFFFFF"/>
        <w:tabs>
          <w:tab w:val="left" w:pos="270"/>
        </w:tabs>
        <w:adjustRightInd w:val="0"/>
        <w:snapToGrid w:val="0"/>
        <w:spacing w:before="60" w:line="312" w:lineRule="auto"/>
        <w:ind w:left="0" w:firstLine="0"/>
        <w:contextualSpacing w:val="0"/>
        <w:jc w:val="both"/>
        <w:rPr>
          <w:bCs/>
          <w:kern w:val="36"/>
          <w:sz w:val="24"/>
          <w:szCs w:val="24"/>
          <w:lang w:val="fr-FR"/>
        </w:rPr>
      </w:pPr>
      <w:r w:rsidRPr="0085693D">
        <w:rPr>
          <w:iCs/>
          <w:sz w:val="24"/>
          <w:szCs w:val="24"/>
          <w:shd w:val="clear" w:color="auto" w:fill="FFFFFF"/>
          <w:lang w:val="fr-FR"/>
        </w:rPr>
        <w:t>Bernard</w:t>
      </w:r>
      <w:r w:rsidRPr="0085693D">
        <w:rPr>
          <w:iCs/>
          <w:sz w:val="24"/>
          <w:szCs w:val="24"/>
          <w:shd w:val="clear" w:color="auto" w:fill="FFFFFF"/>
          <w:lang w:val="vi-VN"/>
        </w:rPr>
        <w:t xml:space="preserve"> </w:t>
      </w:r>
      <w:r w:rsidRPr="0085693D">
        <w:rPr>
          <w:iCs/>
          <w:sz w:val="24"/>
          <w:szCs w:val="24"/>
          <w:shd w:val="clear" w:color="auto" w:fill="FFFFFF"/>
          <w:lang w:val="fr-FR"/>
        </w:rPr>
        <w:t>–</w:t>
      </w:r>
      <w:r w:rsidRPr="0085693D">
        <w:rPr>
          <w:iCs/>
          <w:sz w:val="24"/>
          <w:szCs w:val="24"/>
          <w:shd w:val="clear" w:color="auto" w:fill="FFFFFF"/>
          <w:lang w:val="vi-VN"/>
        </w:rPr>
        <w:t xml:space="preserve"> </w:t>
      </w:r>
      <w:r w:rsidRPr="0085693D">
        <w:rPr>
          <w:iCs/>
          <w:sz w:val="24"/>
          <w:szCs w:val="24"/>
          <w:shd w:val="clear" w:color="auto" w:fill="FFFFFF"/>
          <w:lang w:val="fr-FR"/>
        </w:rPr>
        <w:t>Henri Levy</w:t>
      </w:r>
      <w:r w:rsidRPr="0085693D">
        <w:rPr>
          <w:i/>
          <w:iCs/>
          <w:sz w:val="24"/>
          <w:szCs w:val="24"/>
          <w:shd w:val="clear" w:color="auto" w:fill="FFFFFF"/>
          <w:lang w:val="fr-FR"/>
        </w:rPr>
        <w:t>, L</w:t>
      </w:r>
      <w:r>
        <w:rPr>
          <w:i/>
          <w:iCs/>
          <w:sz w:val="24"/>
          <w:szCs w:val="24"/>
          <w:shd w:val="clear" w:color="auto" w:fill="FFFFFF"/>
          <w:lang w:val="fr-FR"/>
        </w:rPr>
        <w:t>’</w:t>
      </w:r>
      <w:r w:rsidRPr="0085693D">
        <w:rPr>
          <w:i/>
          <w:iCs/>
          <w:sz w:val="24"/>
          <w:szCs w:val="24"/>
          <w:shd w:val="clear" w:color="auto" w:fill="FFFFFF"/>
          <w:lang w:val="fr-FR"/>
        </w:rPr>
        <w:t xml:space="preserve">Esprit du judaïsme, </w:t>
      </w:r>
      <w:r w:rsidRPr="0085693D">
        <w:rPr>
          <w:sz w:val="24"/>
          <w:szCs w:val="24"/>
          <w:shd w:val="clear" w:color="auto" w:fill="FFFFFF"/>
          <w:lang w:val="fr-FR"/>
        </w:rPr>
        <w:t>Grasset, 2016</w:t>
      </w:r>
      <w:r w:rsidRPr="0085693D">
        <w:rPr>
          <w:i/>
          <w:iCs/>
          <w:sz w:val="24"/>
          <w:szCs w:val="24"/>
          <w:shd w:val="clear" w:color="auto" w:fill="FFFFFF"/>
          <w:lang w:val="fr-FR"/>
        </w:rPr>
        <w:t xml:space="preserve"> </w:t>
      </w:r>
      <w:r w:rsidRPr="0085693D">
        <w:rPr>
          <w:iCs/>
          <w:sz w:val="24"/>
          <w:szCs w:val="24"/>
          <w:shd w:val="clear" w:color="auto" w:fill="FFFFFF"/>
          <w:lang w:val="fr-FR"/>
        </w:rPr>
        <w:t>(Bernard–Henri Levy</w:t>
      </w:r>
      <w:r w:rsidRPr="0085693D">
        <w:rPr>
          <w:i/>
          <w:iCs/>
          <w:sz w:val="24"/>
          <w:szCs w:val="24"/>
          <w:shd w:val="clear" w:color="auto" w:fill="FFFFFF"/>
          <w:lang w:val="fr-FR"/>
        </w:rPr>
        <w:t>, Học thuyết Do Thái giáo</w:t>
      </w:r>
      <w:r w:rsidRPr="0085693D">
        <w:rPr>
          <w:sz w:val="24"/>
          <w:szCs w:val="24"/>
          <w:shd w:val="clear" w:color="auto" w:fill="FFFFFF"/>
          <w:lang w:val="fr-FR"/>
        </w:rPr>
        <w:t>, Nxb. Grasset, 2016).</w:t>
      </w:r>
    </w:p>
    <w:p w:rsidR="00716D4C" w:rsidRPr="0085693D" w:rsidRDefault="00716D4C" w:rsidP="00716D4C">
      <w:pPr>
        <w:pStyle w:val="ListParagraph"/>
        <w:numPr>
          <w:ilvl w:val="0"/>
          <w:numId w:val="1"/>
        </w:numPr>
        <w:shd w:val="clear" w:color="auto" w:fill="FFFFFF"/>
        <w:tabs>
          <w:tab w:val="left" w:pos="270"/>
        </w:tabs>
        <w:adjustRightInd w:val="0"/>
        <w:snapToGrid w:val="0"/>
        <w:spacing w:before="60" w:line="312" w:lineRule="auto"/>
        <w:ind w:left="0" w:firstLine="0"/>
        <w:contextualSpacing w:val="0"/>
        <w:jc w:val="both"/>
        <w:rPr>
          <w:rStyle w:val="Hyperlink"/>
          <w:bCs/>
          <w:kern w:val="36"/>
          <w:sz w:val="24"/>
          <w:szCs w:val="24"/>
          <w:lang w:val="fr-FR"/>
        </w:rPr>
      </w:pPr>
      <w:r w:rsidRPr="0085693D">
        <w:rPr>
          <w:sz w:val="24"/>
          <w:szCs w:val="24"/>
        </w:rPr>
        <w:t>Michael Berenbaum</w:t>
      </w:r>
      <w:r w:rsidRPr="0085693D">
        <w:rPr>
          <w:i/>
          <w:sz w:val="24"/>
          <w:szCs w:val="24"/>
        </w:rPr>
        <w:t xml:space="preserve">, Holocaust, European History, </w:t>
      </w:r>
      <w:hyperlink r:id="rId5" w:history="1">
        <w:r w:rsidRPr="0085693D">
          <w:rPr>
            <w:rStyle w:val="Hyperlink"/>
            <w:rFonts w:eastAsia="SimSun"/>
            <w:sz w:val="24"/>
            <w:szCs w:val="24"/>
          </w:rPr>
          <w:t>https://www.britannica.com/event/Holocaust</w:t>
        </w:r>
      </w:hyperlink>
      <w:r w:rsidRPr="0085693D">
        <w:rPr>
          <w:i/>
          <w:sz w:val="24"/>
          <w:szCs w:val="24"/>
        </w:rPr>
        <w:t xml:space="preserve"> (</w:t>
      </w:r>
      <w:r w:rsidRPr="0085693D">
        <w:rPr>
          <w:sz w:val="24"/>
          <w:szCs w:val="24"/>
        </w:rPr>
        <w:t>Michael Berenbaum</w:t>
      </w:r>
      <w:r w:rsidRPr="0085693D">
        <w:rPr>
          <w:i/>
          <w:sz w:val="24"/>
          <w:szCs w:val="24"/>
        </w:rPr>
        <w:t>, Diệt chủng người Do Thái, Lịch sử Châu Âu</w:t>
      </w:r>
      <w:r w:rsidRPr="0085693D">
        <w:rPr>
          <w:sz w:val="24"/>
          <w:szCs w:val="24"/>
        </w:rPr>
        <w:t xml:space="preserve">, </w:t>
      </w:r>
      <w:hyperlink r:id="rId6" w:history="1">
        <w:r w:rsidRPr="0085693D">
          <w:rPr>
            <w:rStyle w:val="Hyperlink"/>
            <w:rFonts w:eastAsia="SimSun"/>
            <w:sz w:val="24"/>
            <w:szCs w:val="24"/>
          </w:rPr>
          <w:t>https://www.britannica.com/event/Holocaust</w:t>
        </w:r>
      </w:hyperlink>
      <w:r w:rsidRPr="0085693D">
        <w:rPr>
          <w:rStyle w:val="Hyperlink"/>
          <w:rFonts w:eastAsia="SimSun"/>
          <w:sz w:val="24"/>
          <w:szCs w:val="24"/>
        </w:rPr>
        <w:t>)</w:t>
      </w:r>
      <w:r w:rsidRPr="0085693D">
        <w:rPr>
          <w:rStyle w:val="Hyperlink"/>
          <w:bCs/>
          <w:kern w:val="36"/>
          <w:sz w:val="24"/>
          <w:szCs w:val="24"/>
          <w:lang w:val="fr-FR"/>
        </w:rPr>
        <w:t>.</w:t>
      </w:r>
    </w:p>
    <w:p w:rsidR="00716D4C" w:rsidRPr="0085693D" w:rsidRDefault="00716D4C" w:rsidP="00716D4C">
      <w:pPr>
        <w:pStyle w:val="ListParagraph"/>
        <w:shd w:val="clear" w:color="auto" w:fill="FFFFFF"/>
        <w:tabs>
          <w:tab w:val="left" w:pos="270"/>
        </w:tabs>
        <w:adjustRightInd w:val="0"/>
        <w:snapToGrid w:val="0"/>
        <w:spacing w:before="60" w:line="312" w:lineRule="auto"/>
        <w:ind w:left="0"/>
        <w:contextualSpacing w:val="0"/>
        <w:rPr>
          <w:bCs/>
          <w:kern w:val="36"/>
          <w:sz w:val="24"/>
          <w:szCs w:val="24"/>
          <w:lang w:val="fr-FR"/>
        </w:rPr>
      </w:pPr>
    </w:p>
    <w:p w:rsidR="00716D4C" w:rsidRDefault="00716D4C"/>
    <w:sectPr w:rsidR="00716D4C"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ABB"/>
    <w:multiLevelType w:val="multilevel"/>
    <w:tmpl w:val="01792ABB"/>
    <w:lvl w:ilvl="0">
      <w:start w:val="1"/>
      <w:numFmt w:val="decimal"/>
      <w:lvlText w:val="%1."/>
      <w:lvlJc w:val="left"/>
      <w:pPr>
        <w:ind w:left="360" w:hanging="360"/>
      </w:pPr>
      <w:rPr>
        <w:color w:val="auto"/>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num w:numId="1" w16cid:durableId="579028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4C"/>
    <w:rsid w:val="00716D4C"/>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0A539-6884-0340-B06B-2F6B17B0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4C"/>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716D4C"/>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16D4C"/>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716D4C"/>
    <w:rPr>
      <w:color w:val="0000FF"/>
      <w:u w:val="single"/>
    </w:rPr>
  </w:style>
  <w:style w:type="character" w:styleId="Emphasis">
    <w:name w:val="Emphasis"/>
    <w:uiPriority w:val="20"/>
    <w:qFormat/>
    <w:rsid w:val="00716D4C"/>
    <w:rPr>
      <w:i/>
      <w:iCs/>
    </w:rPr>
  </w:style>
  <w:style w:type="paragraph" w:styleId="ListParagraph">
    <w:name w:val="List Paragraph"/>
    <w:aliases w:val="Recommendation,En tête 1,List Paragraph11,List Paragraph1,Normal Italics,List Paragraph Char Char Char,Indicator Text,Numbered Para 1,Bullet 1,List Paragraph12,Bullet Points,MAIN CONTENT,列出段落,Colorful Shading - Accent"/>
    <w:basedOn w:val="Normal"/>
    <w:link w:val="ListParagraphChar"/>
    <w:uiPriority w:val="34"/>
    <w:qFormat/>
    <w:rsid w:val="00716D4C"/>
    <w:pPr>
      <w:ind w:left="720"/>
      <w:contextualSpacing/>
    </w:pPr>
  </w:style>
  <w:style w:type="character" w:customStyle="1" w:styleId="a-size-extra-large">
    <w:name w:val="a-size-extra-large"/>
    <w:basedOn w:val="DefaultParagraphFont"/>
    <w:rsid w:val="00716D4C"/>
  </w:style>
  <w:style w:type="character" w:customStyle="1" w:styleId="ListParagraphChar">
    <w:name w:val="List Paragraph Char"/>
    <w:aliases w:val="Recommendation Char,En tête 1 Char,List Paragraph11 Char,List Paragraph1 Char,Normal Italics Char,List Paragraph Char Char Char Char,Indicator Text Char,Numbered Para 1 Char,Bullet 1 Char,List Paragraph12 Char,Bullet Points Char"/>
    <w:link w:val="ListParagraph"/>
    <w:uiPriority w:val="34"/>
    <w:rsid w:val="00716D4C"/>
    <w:rPr>
      <w:rFonts w:ascii="Times New Roman" w:eastAsia="Calibri" w:hAnsi="Times New Roman" w:cs="Times New Roman"/>
      <w:kern w:val="0"/>
      <w:sz w:val="2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event/Holocaust" TargetMode="External"/><Relationship Id="rId5" Type="http://schemas.openxmlformats.org/officeDocument/2006/relationships/hyperlink" Target="https://www.britannica.com/event/Holocau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2025-12-04T06:25:00Z</dcterms:created>
  <dcterms:modified xsi:type="dcterms:W3CDTF">2025-12-04T06:25:00Z</dcterms:modified>
</cp:coreProperties>
</file>